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tbl>
      <w:tblPr>
        <w:tblStyle w:val="Table1"/>
        <w:tblW w:w="9915.0" w:type="dxa"/>
        <w:jc w:val="left"/>
        <w:tblLayout w:type="fixed"/>
        <w:tblLook w:val="0400"/>
      </w:tblPr>
      <w:tblGrid>
        <w:gridCol w:w="5115"/>
        <w:gridCol w:w="1335"/>
        <w:gridCol w:w="1565.9999999999995"/>
        <w:gridCol w:w="1899.0000000000005"/>
        <w:tblGridChange w:id="0">
          <w:tblGrid>
            <w:gridCol w:w="5115"/>
            <w:gridCol w:w="1335"/>
            <w:gridCol w:w="1565.9999999999995"/>
            <w:gridCol w:w="1899.0000000000005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MENTOR INTERN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spacing w:before="79" w:line="237" w:lineRule="auto"/>
              <w:ind w:left="0" w:right="159.2125984251964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0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8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(120CFU) 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6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progettazione e collaudo in azioni FSE-FESRPNSD-PNRR altro 3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docenza in corsi extrascolastici finalizzati al contrasto della dispersione scolastica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1,5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 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Collaboratore del Dirigente scolastico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anno (max 4 anni)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per la promozione del successo formativo e la prevenzione della dispersione scolastica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per la prevenzione del disagio e il supporto alle famiglie in collaborazione con i servizi sociali del territorio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3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di Progetto a supporto dell’apprendimento, contro forme di abbandono e di ritiro scolastico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del GRUPPO DI LAVORO per la prevenzione alla dispersione  scolastica (Decreto di costituzione del GRUPPO DI LAVORO per la prevenzione alla dispersione scolastica Prot.n. 17534 del 18/10/2022)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 punti (max 1 esperienza)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del GRUPPO DI LAVORO per l’orientamento e il tutoraggio per le STEM/MULTILINGUISMO 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 punti (max 1 esperienza)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Referente progetti/laboratori inerenti al tema della dispersione scolastica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anno (max 4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Incarico di animatore digitale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(per anno – max 3 anni)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Componente Team Digitale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punti (per anno - max 3 anni))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1134" w:top="1134" w:left="1134" w:right="1134" w:header="74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ind w:firstLine="0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6119820" cy="1143000"/>
          <wp:effectExtent b="0" l="0" r="0" t="0"/>
          <wp:docPr descr="Immagine che contiene testo, schermata, Carattere, logo&#10;&#10;Descrizione generata automaticamente" id="1031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kro6rm/+I46BJNQqiXiKqweQGQ==">CgMxLjA4AHIhMUs0OWh6d0FMZDI1Mlc2UVBlUmRNZldIUDBfRXFxM2Js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